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1AB05CD9" w14:textId="77777777" w:rsidR="00482D24" w:rsidRDefault="00460A21" w:rsidP="00482D2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>w</w:t>
      </w:r>
    </w:p>
    <w:p w14:paraId="01997BC7" w14:textId="33ECB389" w:rsidR="00582015" w:rsidRPr="00482D24" w:rsidRDefault="00582015" w:rsidP="00482D24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7F7F95">
        <w:rPr>
          <w:b/>
          <w:smallCaps/>
          <w:sz w:val="24"/>
          <w:szCs w:val="24"/>
        </w:rPr>
        <w:t>OŚRODEK SZKOLENIA KIEROWCÓW</w:t>
      </w:r>
    </w:p>
    <w:p w14:paraId="4E32BF0D" w14:textId="77777777" w:rsidR="00582015" w:rsidRPr="007F7F95" w:rsidRDefault="00582015" w:rsidP="00582015">
      <w:pPr>
        <w:spacing w:line="360" w:lineRule="auto"/>
        <w:jc w:val="center"/>
        <w:rPr>
          <w:b/>
          <w:smallCaps/>
          <w:sz w:val="24"/>
          <w:szCs w:val="24"/>
        </w:rPr>
      </w:pPr>
      <w:r w:rsidRPr="007F7F95">
        <w:rPr>
          <w:b/>
          <w:smallCaps/>
          <w:sz w:val="24"/>
          <w:szCs w:val="24"/>
        </w:rPr>
        <w:t>NR 01000219</w:t>
      </w:r>
    </w:p>
    <w:p w14:paraId="392C8526" w14:textId="77777777" w:rsidR="007F7F95" w:rsidRPr="007F7F95" w:rsidRDefault="00582015" w:rsidP="007F7F95">
      <w:pPr>
        <w:spacing w:line="360" w:lineRule="auto"/>
        <w:jc w:val="center"/>
        <w:rPr>
          <w:b/>
          <w:smallCaps/>
          <w:sz w:val="24"/>
          <w:szCs w:val="24"/>
        </w:rPr>
      </w:pPr>
      <w:r w:rsidRPr="007F7F95">
        <w:rPr>
          <w:b/>
          <w:smallCaps/>
          <w:sz w:val="24"/>
          <w:szCs w:val="24"/>
        </w:rPr>
        <w:t>KAT. B</w:t>
      </w:r>
      <w:r w:rsidR="007F7F95" w:rsidRPr="007F7F95">
        <w:rPr>
          <w:b/>
          <w:smallCaps/>
          <w:sz w:val="24"/>
          <w:szCs w:val="24"/>
        </w:rPr>
        <w:t xml:space="preserve"> </w:t>
      </w:r>
    </w:p>
    <w:p w14:paraId="62C27B7E" w14:textId="3E2554A1" w:rsidR="00582015" w:rsidRPr="007F7F95" w:rsidRDefault="00582015" w:rsidP="007F7F95">
      <w:pPr>
        <w:spacing w:line="360" w:lineRule="auto"/>
        <w:jc w:val="center"/>
        <w:rPr>
          <w:b/>
          <w:smallCaps/>
        </w:rPr>
      </w:pPr>
      <w:r w:rsidRPr="007F7F95">
        <w:rPr>
          <w:b/>
          <w:smallCaps/>
        </w:rPr>
        <w:t xml:space="preserve">OSK </w:t>
      </w:r>
      <w:proofErr w:type="spellStart"/>
      <w:r w:rsidRPr="007F7F95">
        <w:rPr>
          <w:b/>
          <w:smallCaps/>
        </w:rPr>
        <w:t>Lucar</w:t>
      </w:r>
      <w:proofErr w:type="spellEnd"/>
      <w:r w:rsidRPr="007F7F95">
        <w:rPr>
          <w:b/>
          <w:smallCaps/>
        </w:rPr>
        <w:t xml:space="preserve"> Łukasz </w:t>
      </w:r>
      <w:r w:rsidR="007F7F95" w:rsidRPr="007F7F95">
        <w:rPr>
          <w:b/>
          <w:smallCaps/>
        </w:rPr>
        <w:t>K</w:t>
      </w:r>
      <w:r w:rsidRPr="007F7F95">
        <w:rPr>
          <w:b/>
          <w:smallCaps/>
        </w:rPr>
        <w:t>ruk</w:t>
      </w:r>
    </w:p>
    <w:p w14:paraId="1AC8AE78" w14:textId="022A95A3" w:rsidR="00582015" w:rsidRPr="007F7F95" w:rsidRDefault="00582015" w:rsidP="00582015">
      <w:pPr>
        <w:spacing w:line="360" w:lineRule="auto"/>
        <w:jc w:val="center"/>
        <w:rPr>
          <w:b/>
          <w:smallCaps/>
        </w:rPr>
      </w:pPr>
      <w:r w:rsidRPr="007F7F95">
        <w:rPr>
          <w:b/>
          <w:smallCaps/>
        </w:rPr>
        <w:t>ul. Stawowa ¾  58-160 Świebodzice</w:t>
      </w:r>
    </w:p>
    <w:p w14:paraId="45D197A2" w14:textId="278EAC04" w:rsidR="00582015" w:rsidRPr="007F7F95" w:rsidRDefault="00582015" w:rsidP="00582015">
      <w:pPr>
        <w:spacing w:line="360" w:lineRule="auto"/>
        <w:jc w:val="center"/>
        <w:rPr>
          <w:b/>
          <w:smallCaps/>
          <w:sz w:val="20"/>
          <w:szCs w:val="20"/>
        </w:rPr>
      </w:pPr>
      <w:r w:rsidRPr="007F7F95">
        <w:rPr>
          <w:b/>
          <w:smallCaps/>
        </w:rPr>
        <w:t>tel. 726 536</w:t>
      </w:r>
      <w:r w:rsidR="007F7F95" w:rsidRPr="007F7F95">
        <w:rPr>
          <w:b/>
          <w:smallCaps/>
        </w:rPr>
        <w:t> </w:t>
      </w:r>
      <w:r w:rsidRPr="007F7F95">
        <w:rPr>
          <w:b/>
          <w:smallCaps/>
        </w:rPr>
        <w:t>431</w:t>
      </w:r>
      <w:r w:rsidRPr="007F7F95">
        <w:rPr>
          <w:b/>
          <w:smallCaps/>
        </w:rPr>
        <w:tab/>
      </w:r>
      <w:r w:rsidR="007F7F95" w:rsidRPr="007F7F95">
        <w:rPr>
          <w:b/>
          <w:smallCaps/>
        </w:rPr>
        <w:tab/>
      </w:r>
      <w:r w:rsidRPr="007F7F95">
        <w:rPr>
          <w:b/>
          <w:smallCaps/>
        </w:rPr>
        <w:t>NIP: 8841847845</w:t>
      </w:r>
    </w:p>
    <w:p w14:paraId="09B7569E" w14:textId="351EA956" w:rsidR="00460A21" w:rsidRPr="00145EE8" w:rsidRDefault="00460A21" w:rsidP="00C43853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1F13F662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725B4502" w14:textId="77777777" w:rsidR="0070652E" w:rsidRPr="0070652E" w:rsidRDefault="007F5C73" w:rsidP="009F2DEE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</w:p>
    <w:p w14:paraId="0A4A8C87" w14:textId="0ED3E740" w:rsidR="007F5C73" w:rsidRPr="0070652E" w:rsidRDefault="0070652E" w:rsidP="0070652E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ind w:left="360"/>
        <w:rPr>
          <w:rFonts w:ascii="Verdana" w:eastAsia="Lato" w:hAnsi="Verdana" w:cs="Lato"/>
          <w:b/>
          <w:bCs/>
          <w:sz w:val="20"/>
          <w:szCs w:val="20"/>
        </w:rPr>
      </w:pPr>
      <w:r w:rsidRPr="0070652E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Pr="0070652E">
        <w:rPr>
          <w:rFonts w:ascii="Verdana" w:eastAsia="Lato" w:hAnsi="Verdana" w:cs="Lato"/>
          <w:sz w:val="20"/>
          <w:szCs w:val="20"/>
        </w:rPr>
        <w:t xml:space="preserve">– </w:t>
      </w:r>
      <w:r w:rsidRPr="0070652E">
        <w:rPr>
          <w:rFonts w:ascii="Verdana" w:eastAsia="Lato" w:hAnsi="Verdana" w:cs="Lato"/>
          <w:b/>
          <w:bCs/>
          <w:sz w:val="20"/>
          <w:szCs w:val="20"/>
        </w:rPr>
        <w:t xml:space="preserve">OSK </w:t>
      </w:r>
      <w:proofErr w:type="spellStart"/>
      <w:r w:rsidRPr="0070652E">
        <w:rPr>
          <w:rFonts w:ascii="Verdana" w:eastAsia="Lato" w:hAnsi="Verdana" w:cs="Lato"/>
          <w:b/>
          <w:bCs/>
          <w:sz w:val="20"/>
          <w:szCs w:val="20"/>
        </w:rPr>
        <w:t>Lucar</w:t>
      </w:r>
      <w:proofErr w:type="spellEnd"/>
      <w:r w:rsidRPr="0070652E">
        <w:rPr>
          <w:rFonts w:ascii="Verdana" w:eastAsia="Lato" w:hAnsi="Verdana" w:cs="Lato"/>
          <w:b/>
          <w:bCs/>
          <w:sz w:val="20"/>
          <w:szCs w:val="20"/>
        </w:rPr>
        <w:t xml:space="preserve"> Łukasz Kruk </w:t>
      </w:r>
      <w:proofErr w:type="spellStart"/>
      <w:r w:rsidRPr="0070652E">
        <w:rPr>
          <w:rFonts w:ascii="Verdana" w:eastAsia="Lato" w:hAnsi="Verdana" w:cs="Lato"/>
          <w:b/>
          <w:bCs/>
          <w:sz w:val="20"/>
          <w:szCs w:val="20"/>
        </w:rPr>
        <w:t>ul.Stawowa</w:t>
      </w:r>
      <w:proofErr w:type="spellEnd"/>
      <w:r w:rsidRPr="0070652E">
        <w:rPr>
          <w:rFonts w:ascii="Verdana" w:eastAsia="Lato" w:hAnsi="Verdana" w:cs="Lato"/>
          <w:b/>
          <w:bCs/>
          <w:sz w:val="20"/>
          <w:szCs w:val="20"/>
        </w:rPr>
        <w:t xml:space="preserve"> ¾ 58-160 Świebodzice tel. 726536431 NIP: 8841847845.</w:t>
      </w:r>
      <w:r w:rsidR="00C14689" w:rsidRPr="0070652E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70652E">
        <w:rPr>
          <w:rFonts w:ascii="Verdana" w:eastAsia="Lato" w:hAnsi="Verdana" w:cs="Lato"/>
          <w:sz w:val="20"/>
          <w:szCs w:val="20"/>
        </w:rPr>
        <w:t>wprowadza s</w:t>
      </w:r>
      <w:r w:rsidR="007F5C73" w:rsidRPr="0070652E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02020357" w:rsidR="001924F7" w:rsidRPr="00EB6B9D" w:rsidRDefault="001924F7" w:rsidP="00C639C1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C639C1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C639C1" w:rsidRPr="00EB6B9D">
        <w:rPr>
          <w:rFonts w:ascii="Verdana" w:eastAsia="Lato" w:hAnsi="Verdana" w:cs="Lato"/>
          <w:b/>
          <w:bCs/>
          <w:sz w:val="20"/>
          <w:szCs w:val="20"/>
        </w:rPr>
        <w:t xml:space="preserve">OSK </w:t>
      </w:r>
      <w:proofErr w:type="spellStart"/>
      <w:r w:rsidR="00C639C1" w:rsidRPr="00EB6B9D">
        <w:rPr>
          <w:rFonts w:ascii="Verdana" w:eastAsia="Lato" w:hAnsi="Verdana" w:cs="Lato"/>
          <w:b/>
          <w:bCs/>
          <w:sz w:val="20"/>
          <w:szCs w:val="20"/>
        </w:rPr>
        <w:t>Lucar</w:t>
      </w:r>
      <w:proofErr w:type="spellEnd"/>
      <w:r w:rsidR="00C639C1" w:rsidRPr="00EB6B9D">
        <w:rPr>
          <w:rFonts w:ascii="Verdana" w:eastAsia="Lato" w:hAnsi="Verdana" w:cs="Lato"/>
          <w:b/>
          <w:bCs/>
          <w:sz w:val="20"/>
          <w:szCs w:val="20"/>
        </w:rPr>
        <w:t xml:space="preserve"> Łukasz Kruk </w:t>
      </w:r>
      <w:proofErr w:type="spellStart"/>
      <w:r w:rsidR="00C639C1" w:rsidRPr="00EB6B9D">
        <w:rPr>
          <w:rFonts w:ascii="Verdana" w:eastAsia="Lato" w:hAnsi="Verdana" w:cs="Lato"/>
          <w:b/>
          <w:bCs/>
          <w:sz w:val="20"/>
          <w:szCs w:val="20"/>
        </w:rPr>
        <w:t>ul.Stawowa</w:t>
      </w:r>
      <w:proofErr w:type="spellEnd"/>
      <w:r w:rsidR="00C639C1" w:rsidRPr="00EB6B9D">
        <w:rPr>
          <w:rFonts w:ascii="Verdana" w:eastAsia="Lato" w:hAnsi="Verdana" w:cs="Lato"/>
          <w:b/>
          <w:bCs/>
          <w:sz w:val="20"/>
          <w:szCs w:val="20"/>
        </w:rPr>
        <w:t xml:space="preserve"> ¾ 58-160 Świebodzice tel. 726536431 NIP: 8841847845</w:t>
      </w:r>
      <w:r w:rsidR="00446A78" w:rsidRPr="00EB6B9D">
        <w:rPr>
          <w:rFonts w:ascii="Verdana" w:eastAsia="Lato" w:hAnsi="Verdana" w:cs="Lato"/>
          <w:b/>
          <w:bCs/>
          <w:sz w:val="20"/>
          <w:szCs w:val="20"/>
        </w:rPr>
        <w:t>.</w:t>
      </w:r>
    </w:p>
    <w:p w14:paraId="68C1B2A7" w14:textId="2589AEF5" w:rsidR="007F5C73" w:rsidRPr="00145EE8" w:rsidRDefault="007F5C73" w:rsidP="00A01FC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A01FC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A01FC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A01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A01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A01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A01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A01F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A01FCB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A01FCB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A01FC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A01FCB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A01FCB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, skutkująca negatywnymi odczuciami nie </w:t>
      </w:r>
      <w:r w:rsidR="00AD303F" w:rsidRPr="00145EE8">
        <w:rPr>
          <w:rFonts w:ascii="Verdana" w:hAnsi="Verdana"/>
          <w:color w:val="auto"/>
          <w:sz w:val="20"/>
          <w:szCs w:val="20"/>
        </w:rPr>
        <w:lastRenderedPageBreak/>
        <w:t>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A01FCB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A01FCB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A01FCB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A01FCB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A01FC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A01FCB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A01FCB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A01FCB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lastRenderedPageBreak/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A01FCB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A01FCB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A01FCB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A01FCB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A01FC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A01FCB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A01FCB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A01FCB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A01FCB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bezpieczeństwo w Internecie,</w:t>
      </w:r>
    </w:p>
    <w:p w14:paraId="5ECDF570" w14:textId="35489793" w:rsidR="00AF7877" w:rsidRPr="00AF7877" w:rsidRDefault="00145EE8" w:rsidP="00A01FCB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A01FCB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A01FC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A01FCB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A01FCB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A01FCB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A01FCB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A01FCB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A01FCB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A01FCB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A01F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A01F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A01F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A01FCB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A01FCB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A01F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A01F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A01FCB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A01FCB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A01F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A01F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A01F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A01F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 xml:space="preserve">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A01FCB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A01FC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A01FC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A01FC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A01F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monitorowania wsparcia udzielanego małoletniemu; </w:t>
      </w:r>
    </w:p>
    <w:p w14:paraId="595F4690" w14:textId="77777777" w:rsidR="00145EE8" w:rsidRPr="00145EE8" w:rsidRDefault="00145EE8" w:rsidP="00A01FCB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A01FC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A01FC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A01FC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A01FC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A01FCB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A01FCB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A01FC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A01FCB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A01FCB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A01FCB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A01FC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A01FCB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A01FCB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A01FCB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A01FCB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145EE8" w:rsidRDefault="002B40F8" w:rsidP="00A01FC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A01FC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A01FC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A01FCB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A01FC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A01FC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A01FCB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A01FCB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A01FC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A01FC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A01FCB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A01FCB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A01FC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A01FC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A01FC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A01FC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A01FCB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A01FCB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A01FC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A01FC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sytuacji ustalenia podczas rozmowy z opiekunami prawnymi, że nie podejmując oni próby wsparcia małoletniego, ignorując zgłoszenie krzywdzenia lub nie przejawiają </w:t>
      </w:r>
      <w:r w:rsidR="00822F4D" w:rsidRPr="00145EE8">
        <w:rPr>
          <w:rFonts w:ascii="Verdana" w:eastAsia="Lato" w:hAnsi="Verdana" w:cs="Lato"/>
          <w:sz w:val="20"/>
          <w:szCs w:val="20"/>
        </w:rPr>
        <w:lastRenderedPageBreak/>
        <w:t>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A01FC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A01FCB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A01FC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A01FC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A01FC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A01FCB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A01FC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A01FC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A01FCB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lastRenderedPageBreak/>
        <w:t>nielegalnych;</w:t>
      </w:r>
    </w:p>
    <w:p w14:paraId="73AD4F82" w14:textId="63BB9B60" w:rsidR="00145EE8" w:rsidRDefault="00145EE8" w:rsidP="00A01FCB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A01FCB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A01FCB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A01FCB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A01FC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A01FCB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A01FCB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A01FCB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A01FCB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A01FCB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A01FCB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A01FCB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A01FCB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A01FCB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A01FCB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A01FCB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A01FC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A01FCB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A01FC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A01FCB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A01FCB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542F4467" w:rsidR="00822F4D" w:rsidRPr="00145EE8" w:rsidRDefault="00822F4D" w:rsidP="00A01FCB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710FE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15 sierpnia 2024r.</w:t>
      </w:r>
    </w:p>
    <w:p w14:paraId="036F2E9E" w14:textId="7764D468" w:rsidR="008A1AF0" w:rsidRPr="008A1AF0" w:rsidRDefault="008A1AF0" w:rsidP="00A01FCB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A01FCB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6A7D871B" w:rsidR="008A1AF0" w:rsidRPr="008A1AF0" w:rsidRDefault="008A1AF0" w:rsidP="00A01FCB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>na stronie internetowej Ośrodka Szkolenia Kierowców ……………………</w:t>
      </w:r>
      <w:r w:rsidR="009F2DEE">
        <w:rPr>
          <w:rStyle w:val="Brak"/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Brak"/>
          <w:rFonts w:ascii="Verdana" w:hAnsi="Verdana"/>
          <w:sz w:val="20"/>
          <w:szCs w:val="20"/>
        </w:rPr>
        <w:t>……………… .</w:t>
      </w:r>
    </w:p>
    <w:p w14:paraId="4B136B57" w14:textId="1BCAF8AE" w:rsidR="008A1AF0" w:rsidRPr="008A1AF0" w:rsidRDefault="008A1AF0" w:rsidP="00A01FCB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A01FCB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11422" w:type="dxa"/>
        <w:tblInd w:w="-1167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365"/>
        <w:gridCol w:w="2537"/>
        <w:gridCol w:w="2815"/>
      </w:tblGrid>
      <w:tr w:rsidR="00AF7877" w:rsidRPr="00145EE8" w14:paraId="4E5F80A0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114C4A88" w:rsidR="00AF7877" w:rsidRPr="00145EE8" w:rsidRDefault="008710FE" w:rsidP="008710FE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44AB65B1" w:rsidR="00AF7877" w:rsidRPr="00145EE8" w:rsidRDefault="008710F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726 536 431</w:t>
            </w:r>
          </w:p>
        </w:tc>
      </w:tr>
      <w:tr w:rsidR="00AF7877" w:rsidRPr="00145EE8" w14:paraId="52F7600E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36D3ECB1" w:rsidR="00AF7877" w:rsidRPr="00145EE8" w:rsidRDefault="008710F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02BB821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8710FE">
              <w:rPr>
                <w:rFonts w:ascii="Verdana" w:eastAsia="Lato" w:hAnsi="Verdana" w:cs="Lato"/>
                <w:sz w:val="20"/>
                <w:szCs w:val="20"/>
              </w:rPr>
              <w:t>726 536 431</w:t>
            </w:r>
          </w:p>
        </w:tc>
      </w:tr>
      <w:tr w:rsidR="00AF7877" w:rsidRPr="00145EE8" w14:paraId="77FA0E71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131B2289" w:rsidR="00AF7877" w:rsidRPr="00145EE8" w:rsidRDefault="008710F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66A435A8" w:rsidR="00AF7877" w:rsidRPr="00145EE8" w:rsidRDefault="008710F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726 536 431</w:t>
            </w:r>
          </w:p>
        </w:tc>
      </w:tr>
      <w:tr w:rsidR="00AF7877" w:rsidRPr="00145EE8" w14:paraId="4FEC160D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4DD2BCB7" w:rsidR="00AF7877" w:rsidRPr="00145EE8" w:rsidRDefault="008710FE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2577B4CF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8710FE">
              <w:rPr>
                <w:rFonts w:ascii="Verdana" w:eastAsia="Lato" w:hAnsi="Verdana" w:cs="Lato"/>
                <w:sz w:val="20"/>
                <w:szCs w:val="20"/>
              </w:rPr>
              <w:t>726 536 431</w:t>
            </w:r>
          </w:p>
        </w:tc>
      </w:tr>
      <w:tr w:rsidR="00AF7877" w:rsidRPr="00145EE8" w14:paraId="28BB9626" w14:textId="77777777" w:rsidTr="008710FE">
        <w:trPr>
          <w:trHeight w:val="308"/>
        </w:trPr>
        <w:tc>
          <w:tcPr>
            <w:tcW w:w="7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536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54425F3B" w:rsidR="00AF7877" w:rsidRPr="00145EE8" w:rsidRDefault="008710F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Łukasz Kruk</w:t>
            </w:r>
          </w:p>
        </w:tc>
        <w:tc>
          <w:tcPr>
            <w:tcW w:w="281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78B5845F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8710FE">
              <w:rPr>
                <w:rFonts w:ascii="Verdana" w:eastAsia="Lato" w:hAnsi="Verdana" w:cs="Lato"/>
                <w:sz w:val="20"/>
                <w:szCs w:val="20"/>
              </w:rPr>
              <w:t>726 536 431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FAA5" w14:textId="77777777" w:rsidR="00BF01FC" w:rsidRDefault="00BF01FC" w:rsidP="007F5C73">
      <w:pPr>
        <w:spacing w:after="0" w:line="240" w:lineRule="auto"/>
      </w:pPr>
      <w:r>
        <w:separator/>
      </w:r>
    </w:p>
  </w:endnote>
  <w:endnote w:type="continuationSeparator" w:id="0">
    <w:p w14:paraId="59B6710A" w14:textId="77777777" w:rsidR="00BF01FC" w:rsidRDefault="00BF01FC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BD0A" w14:textId="77777777" w:rsidR="00BF01FC" w:rsidRDefault="00BF01FC" w:rsidP="007F5C73">
      <w:pPr>
        <w:spacing w:after="0" w:line="240" w:lineRule="auto"/>
      </w:pPr>
      <w:r>
        <w:separator/>
      </w:r>
    </w:p>
  </w:footnote>
  <w:footnote w:type="continuationSeparator" w:id="0">
    <w:p w14:paraId="74BAE5CB" w14:textId="77777777" w:rsidR="00BF01FC" w:rsidRDefault="00BF01FC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A376897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C8B0B69E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40EE700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C205C0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B189554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F088E4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CE4DB6C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3BCEBBE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6105198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8443D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5A08437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BA5850D2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18165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37B2"/>
    <w:rsid w:val="000257B9"/>
    <w:rsid w:val="00031B09"/>
    <w:rsid w:val="00053A66"/>
    <w:rsid w:val="00091821"/>
    <w:rsid w:val="000A67F4"/>
    <w:rsid w:val="00145EE8"/>
    <w:rsid w:val="001711E6"/>
    <w:rsid w:val="00173694"/>
    <w:rsid w:val="00176FDD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82D24"/>
    <w:rsid w:val="004A1D02"/>
    <w:rsid w:val="004A51F4"/>
    <w:rsid w:val="004B3087"/>
    <w:rsid w:val="00502A43"/>
    <w:rsid w:val="005266A9"/>
    <w:rsid w:val="00533A42"/>
    <w:rsid w:val="00552779"/>
    <w:rsid w:val="00582015"/>
    <w:rsid w:val="005A1DB2"/>
    <w:rsid w:val="00662575"/>
    <w:rsid w:val="0070652E"/>
    <w:rsid w:val="00706AB3"/>
    <w:rsid w:val="0077394A"/>
    <w:rsid w:val="00794EEB"/>
    <w:rsid w:val="007B4D03"/>
    <w:rsid w:val="007C3128"/>
    <w:rsid w:val="007C3200"/>
    <w:rsid w:val="007C4333"/>
    <w:rsid w:val="007F5C73"/>
    <w:rsid w:val="007F7F95"/>
    <w:rsid w:val="00822F4D"/>
    <w:rsid w:val="008710FE"/>
    <w:rsid w:val="00872A7B"/>
    <w:rsid w:val="008A1AF0"/>
    <w:rsid w:val="00926302"/>
    <w:rsid w:val="009F2DEE"/>
    <w:rsid w:val="009F5D36"/>
    <w:rsid w:val="00A01FCB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BF01FC"/>
    <w:rsid w:val="00C14689"/>
    <w:rsid w:val="00C43853"/>
    <w:rsid w:val="00C639C1"/>
    <w:rsid w:val="00CD6C92"/>
    <w:rsid w:val="00CF35C1"/>
    <w:rsid w:val="00CF478F"/>
    <w:rsid w:val="00D306C7"/>
    <w:rsid w:val="00D935E5"/>
    <w:rsid w:val="00DD104F"/>
    <w:rsid w:val="00E13044"/>
    <w:rsid w:val="00E45FF7"/>
    <w:rsid w:val="00E94888"/>
    <w:rsid w:val="00EB6B9D"/>
    <w:rsid w:val="00EC519B"/>
    <w:rsid w:val="00EE384A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  <w:style w:type="numbering" w:customStyle="1" w:styleId="Zaimportowanystyl110">
    <w:name w:val="Zaimportowany styl 110"/>
    <w:rsid w:val="007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5096</Words>
  <Characters>30576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hubike</cp:lastModifiedBy>
  <cp:revision>9</cp:revision>
  <dcterms:created xsi:type="dcterms:W3CDTF">2026-03-03T06:02:00Z</dcterms:created>
  <dcterms:modified xsi:type="dcterms:W3CDTF">2026-03-04T05:36:00Z</dcterms:modified>
</cp:coreProperties>
</file>